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2353D">
      <w:pPr>
        <w:widowControl/>
        <w:adjustRightInd w:val="0"/>
        <w:snapToGrid w:val="0"/>
        <w:spacing w:line="560" w:lineRule="exact"/>
        <w:jc w:val="left"/>
        <w:rPr>
          <w:rFonts w:hint="eastAsia" w:ascii="黑体" w:hAnsi="黑体" w:eastAsia="黑体" w:cs="Times New Roman"/>
          <w:sz w:val="32"/>
          <w:szCs w:val="32"/>
        </w:rPr>
      </w:pPr>
      <w:r>
        <w:rPr>
          <w:rFonts w:hint="eastAsia" w:ascii="黑体" w:hAnsi="黑体" w:eastAsia="黑体" w:cs="Times New Roman"/>
          <w:sz w:val="32"/>
          <w:szCs w:val="32"/>
        </w:rPr>
        <w:t>附件</w:t>
      </w:r>
      <w:r>
        <w:rPr>
          <w:rFonts w:ascii="黑体" w:hAnsi="黑体" w:eastAsia="黑体" w:cs="Times New Roman"/>
          <w:sz w:val="32"/>
          <w:szCs w:val="32"/>
        </w:rPr>
        <w:t xml:space="preserve">1 </w:t>
      </w:r>
      <w:r>
        <w:rPr>
          <w:rFonts w:hint="eastAsia" w:ascii="黑体" w:hAnsi="黑体" w:eastAsia="黑体" w:cs="Times New Roman"/>
          <w:sz w:val="32"/>
          <w:szCs w:val="32"/>
        </w:rPr>
        <w:t>项目采购清单</w:t>
      </w:r>
    </w:p>
    <w:p w14:paraId="2C6123CD">
      <w:pPr>
        <w:widowControl/>
        <w:adjustRightInd w:val="0"/>
        <w:snapToGrid w:val="0"/>
        <w:spacing w:line="560" w:lineRule="exact"/>
        <w:jc w:val="left"/>
        <w:rPr>
          <w:rFonts w:hint="eastAsia" w:ascii="黑体" w:hAnsi="黑体" w:eastAsia="黑体" w:cs="Times New Roman"/>
          <w:sz w:val="32"/>
          <w:szCs w:val="32"/>
        </w:rPr>
      </w:pPr>
    </w:p>
    <w:p w14:paraId="25A7439E">
      <w:pPr>
        <w:adjustRightInd w:val="0"/>
        <w:snapToGrid w:val="0"/>
        <w:spacing w:line="560" w:lineRule="exact"/>
        <w:ind w:firstLine="640" w:firstLineChars="200"/>
        <w:jc w:val="center"/>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项目采购清单</w:t>
      </w:r>
    </w:p>
    <w:p w14:paraId="1CD9DD91">
      <w:pPr>
        <w:adjustRightInd w:val="0"/>
        <w:snapToGrid w:val="0"/>
        <w:spacing w:line="560" w:lineRule="exact"/>
        <w:ind w:firstLine="562" w:firstLineChars="200"/>
        <w:jc w:val="left"/>
        <w:rPr>
          <w:rFonts w:ascii="方正仿宋_GBK" w:hAnsi="Times New Roman" w:eastAsia="方正仿宋_GBK" w:cs="Times New Roman"/>
          <w:b/>
          <w:sz w:val="28"/>
          <w:szCs w:val="24"/>
        </w:rPr>
      </w:pPr>
      <w:r>
        <w:rPr>
          <w:rFonts w:hint="eastAsia" w:ascii="方正仿宋_GBK" w:hAnsi="Times New Roman" w:eastAsia="方正仿宋_GBK" w:cs="Times New Roman"/>
          <w:b/>
          <w:sz w:val="28"/>
          <w:szCs w:val="24"/>
        </w:rPr>
        <w:t>1、采购清单</w:t>
      </w:r>
    </w:p>
    <w:tbl>
      <w:tblPr>
        <w:tblStyle w:val="5"/>
        <w:tblW w:w="86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2421"/>
        <w:gridCol w:w="1690"/>
        <w:gridCol w:w="1701"/>
        <w:gridCol w:w="2148"/>
      </w:tblGrid>
      <w:tr w14:paraId="2DE7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713" w:type="dxa"/>
            <w:vAlign w:val="center"/>
          </w:tcPr>
          <w:p w14:paraId="6D15BCFE">
            <w:pPr>
              <w:adjustRightInd w:val="0"/>
              <w:snapToGrid w:val="0"/>
              <w:spacing w:line="560" w:lineRule="exact"/>
              <w:jc w:val="center"/>
              <w:rPr>
                <w:rFonts w:ascii="方正仿宋_GBK" w:hAnsi="Times New Roman" w:eastAsia="方正仿宋_GBK" w:cs="Times New Roman"/>
                <w:b/>
                <w:kern w:val="0"/>
                <w:sz w:val="28"/>
                <w:szCs w:val="24"/>
              </w:rPr>
            </w:pPr>
            <w:r>
              <w:rPr>
                <w:rFonts w:hint="eastAsia" w:ascii="方正仿宋_GBK" w:hAnsi="Times New Roman" w:eastAsia="方正仿宋_GBK" w:cs="Times New Roman"/>
                <w:b/>
                <w:kern w:val="0"/>
                <w:sz w:val="28"/>
                <w:szCs w:val="24"/>
              </w:rPr>
              <w:t>编号</w:t>
            </w:r>
          </w:p>
        </w:tc>
        <w:tc>
          <w:tcPr>
            <w:tcW w:w="2421" w:type="dxa"/>
            <w:vAlign w:val="center"/>
          </w:tcPr>
          <w:p w14:paraId="76005AC0">
            <w:pPr>
              <w:adjustRightInd w:val="0"/>
              <w:snapToGrid w:val="0"/>
              <w:spacing w:line="560" w:lineRule="exact"/>
              <w:jc w:val="center"/>
              <w:rPr>
                <w:rFonts w:ascii="方正仿宋_GBK" w:hAnsi="Times New Roman" w:eastAsia="方正仿宋_GBK" w:cs="Times New Roman"/>
                <w:b/>
                <w:kern w:val="0"/>
                <w:sz w:val="28"/>
                <w:szCs w:val="24"/>
              </w:rPr>
            </w:pPr>
            <w:r>
              <w:rPr>
                <w:rFonts w:hint="eastAsia" w:ascii="方正仿宋_GBK" w:hAnsi="Times New Roman" w:eastAsia="方正仿宋_GBK" w:cs="Times New Roman"/>
                <w:b/>
                <w:kern w:val="0"/>
                <w:sz w:val="28"/>
                <w:szCs w:val="24"/>
              </w:rPr>
              <w:t>仪器/设备名称</w:t>
            </w:r>
          </w:p>
        </w:tc>
        <w:tc>
          <w:tcPr>
            <w:tcW w:w="1690" w:type="dxa"/>
            <w:vAlign w:val="center"/>
          </w:tcPr>
          <w:p w14:paraId="06A668F8">
            <w:pPr>
              <w:adjustRightInd w:val="0"/>
              <w:snapToGrid w:val="0"/>
              <w:spacing w:line="560" w:lineRule="exact"/>
              <w:jc w:val="center"/>
              <w:rPr>
                <w:rFonts w:ascii="方正仿宋_GBK" w:hAnsi="Times New Roman" w:eastAsia="方正仿宋_GBK" w:cs="Times New Roman"/>
                <w:b/>
                <w:kern w:val="0"/>
                <w:sz w:val="28"/>
                <w:szCs w:val="24"/>
              </w:rPr>
            </w:pPr>
            <w:r>
              <w:rPr>
                <w:rFonts w:hint="eastAsia" w:ascii="方正仿宋_GBK" w:hAnsi="Times New Roman" w:eastAsia="方正仿宋_GBK" w:cs="Times New Roman"/>
                <w:b/>
                <w:kern w:val="0"/>
                <w:sz w:val="28"/>
                <w:szCs w:val="24"/>
              </w:rPr>
              <w:t>数量</w:t>
            </w:r>
          </w:p>
        </w:tc>
        <w:tc>
          <w:tcPr>
            <w:tcW w:w="1701" w:type="dxa"/>
            <w:vAlign w:val="center"/>
          </w:tcPr>
          <w:p w14:paraId="3915B741">
            <w:pPr>
              <w:adjustRightInd w:val="0"/>
              <w:snapToGrid w:val="0"/>
              <w:spacing w:line="560" w:lineRule="exact"/>
              <w:jc w:val="center"/>
              <w:rPr>
                <w:rFonts w:ascii="方正仿宋_GBK" w:hAnsi="Times New Roman" w:eastAsia="方正仿宋_GBK" w:cs="Times New Roman"/>
                <w:b/>
                <w:kern w:val="0"/>
                <w:sz w:val="28"/>
                <w:szCs w:val="24"/>
              </w:rPr>
            </w:pPr>
            <w:r>
              <w:rPr>
                <w:rFonts w:hint="eastAsia" w:ascii="方正仿宋_GBK" w:hAnsi="Times New Roman" w:eastAsia="方正仿宋_GBK" w:cs="Times New Roman"/>
                <w:b/>
                <w:kern w:val="0"/>
                <w:sz w:val="28"/>
                <w:szCs w:val="24"/>
              </w:rPr>
              <w:t>单位</w:t>
            </w:r>
          </w:p>
        </w:tc>
        <w:tc>
          <w:tcPr>
            <w:tcW w:w="2148" w:type="dxa"/>
            <w:vAlign w:val="center"/>
          </w:tcPr>
          <w:p w14:paraId="11240531">
            <w:pPr>
              <w:adjustRightInd w:val="0"/>
              <w:snapToGrid w:val="0"/>
              <w:spacing w:line="560" w:lineRule="exact"/>
              <w:jc w:val="center"/>
              <w:rPr>
                <w:rFonts w:ascii="方正仿宋_GBK" w:hAnsi="Times New Roman" w:eastAsia="方正仿宋_GBK" w:cs="Times New Roman"/>
                <w:b/>
                <w:kern w:val="0"/>
                <w:sz w:val="28"/>
                <w:szCs w:val="24"/>
              </w:rPr>
            </w:pPr>
            <w:r>
              <w:rPr>
                <w:rFonts w:hint="eastAsia" w:ascii="方正仿宋_GBK" w:hAnsi="Times New Roman" w:eastAsia="方正仿宋_GBK" w:cs="Times New Roman"/>
                <w:b/>
                <w:kern w:val="0"/>
                <w:sz w:val="28"/>
                <w:szCs w:val="24"/>
              </w:rPr>
              <w:t>限价（元）</w:t>
            </w:r>
          </w:p>
        </w:tc>
      </w:tr>
      <w:tr w14:paraId="4BC3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713" w:type="dxa"/>
            <w:vAlign w:val="center"/>
          </w:tcPr>
          <w:p w14:paraId="36A3774E">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1</w:t>
            </w:r>
          </w:p>
        </w:tc>
        <w:tc>
          <w:tcPr>
            <w:tcW w:w="2421" w:type="dxa"/>
            <w:vAlign w:val="center"/>
          </w:tcPr>
          <w:p w14:paraId="3824C3FA">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全自动凯氏定氮仪</w:t>
            </w:r>
          </w:p>
        </w:tc>
        <w:tc>
          <w:tcPr>
            <w:tcW w:w="1690" w:type="dxa"/>
            <w:vAlign w:val="center"/>
          </w:tcPr>
          <w:p w14:paraId="757F2316">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1</w:t>
            </w:r>
          </w:p>
        </w:tc>
        <w:tc>
          <w:tcPr>
            <w:tcW w:w="1701" w:type="dxa"/>
            <w:vAlign w:val="center"/>
          </w:tcPr>
          <w:p w14:paraId="2971F7F5">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台</w:t>
            </w:r>
          </w:p>
        </w:tc>
        <w:tc>
          <w:tcPr>
            <w:tcW w:w="2148" w:type="dxa"/>
            <w:vMerge w:val="restart"/>
            <w:vAlign w:val="center"/>
          </w:tcPr>
          <w:p w14:paraId="14423A50">
            <w:pPr>
              <w:adjustRightInd w:val="0"/>
              <w:snapToGrid w:val="0"/>
              <w:jc w:val="center"/>
              <w:rPr>
                <w:rFonts w:ascii="Times New Roman" w:hAnsi="Times New Roman" w:eastAsia="方正仿宋_GBK" w:cs="Times New Roman"/>
                <w:kern w:val="0"/>
                <w:sz w:val="28"/>
                <w:szCs w:val="24"/>
              </w:rPr>
            </w:pPr>
            <w:r>
              <w:rPr>
                <w:rFonts w:hint="eastAsia" w:ascii="Times New Roman" w:hAnsi="Times New Roman" w:eastAsia="方正仿宋_GBK" w:cs="Times New Roman"/>
                <w:kern w:val="0"/>
                <w:sz w:val="28"/>
                <w:szCs w:val="24"/>
              </w:rPr>
              <w:t>180</w:t>
            </w:r>
            <w:r>
              <w:rPr>
                <w:rFonts w:ascii="Times New Roman" w:hAnsi="Times New Roman" w:eastAsia="方正仿宋_GBK" w:cs="Times New Roman"/>
                <w:kern w:val="0"/>
                <w:sz w:val="28"/>
                <w:szCs w:val="24"/>
              </w:rPr>
              <w:t>,000.00</w:t>
            </w:r>
          </w:p>
        </w:tc>
      </w:tr>
      <w:tr w14:paraId="6073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713" w:type="dxa"/>
            <w:vAlign w:val="center"/>
          </w:tcPr>
          <w:p w14:paraId="31ABC70E">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2</w:t>
            </w:r>
          </w:p>
        </w:tc>
        <w:tc>
          <w:tcPr>
            <w:tcW w:w="2421" w:type="dxa"/>
            <w:vAlign w:val="center"/>
          </w:tcPr>
          <w:p w14:paraId="26002760">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紫外分光光度计</w:t>
            </w:r>
          </w:p>
        </w:tc>
        <w:tc>
          <w:tcPr>
            <w:tcW w:w="1690" w:type="dxa"/>
            <w:vAlign w:val="center"/>
          </w:tcPr>
          <w:p w14:paraId="6EF345B2">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1</w:t>
            </w:r>
          </w:p>
        </w:tc>
        <w:tc>
          <w:tcPr>
            <w:tcW w:w="1701" w:type="dxa"/>
            <w:vAlign w:val="center"/>
          </w:tcPr>
          <w:p w14:paraId="05C5A3DF">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台</w:t>
            </w:r>
          </w:p>
        </w:tc>
        <w:tc>
          <w:tcPr>
            <w:tcW w:w="2148" w:type="dxa"/>
            <w:vMerge w:val="continue"/>
            <w:vAlign w:val="center"/>
          </w:tcPr>
          <w:p w14:paraId="0A2C4C33">
            <w:pPr>
              <w:adjustRightInd w:val="0"/>
              <w:snapToGrid w:val="0"/>
              <w:jc w:val="center"/>
              <w:rPr>
                <w:rFonts w:ascii="方正仿宋_GBK" w:hAnsi="Times New Roman" w:eastAsia="方正仿宋_GBK" w:cs="Times New Roman"/>
                <w:b/>
                <w:kern w:val="0"/>
                <w:sz w:val="24"/>
                <w:szCs w:val="24"/>
              </w:rPr>
            </w:pPr>
          </w:p>
        </w:tc>
      </w:tr>
      <w:tr w14:paraId="45DD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713" w:type="dxa"/>
            <w:vAlign w:val="center"/>
          </w:tcPr>
          <w:p w14:paraId="5CE8AA93">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3</w:t>
            </w:r>
          </w:p>
        </w:tc>
        <w:tc>
          <w:tcPr>
            <w:tcW w:w="2421" w:type="dxa"/>
            <w:vAlign w:val="center"/>
          </w:tcPr>
          <w:p w14:paraId="64E4B5E6">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油浴锅</w:t>
            </w:r>
          </w:p>
        </w:tc>
        <w:tc>
          <w:tcPr>
            <w:tcW w:w="1690" w:type="dxa"/>
            <w:vAlign w:val="center"/>
          </w:tcPr>
          <w:p w14:paraId="352312FE">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1</w:t>
            </w:r>
          </w:p>
        </w:tc>
        <w:tc>
          <w:tcPr>
            <w:tcW w:w="1701" w:type="dxa"/>
            <w:vAlign w:val="center"/>
          </w:tcPr>
          <w:p w14:paraId="1D9C7D55">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台</w:t>
            </w:r>
          </w:p>
        </w:tc>
        <w:tc>
          <w:tcPr>
            <w:tcW w:w="2148" w:type="dxa"/>
            <w:vMerge w:val="continue"/>
            <w:vAlign w:val="center"/>
          </w:tcPr>
          <w:p w14:paraId="1780DE4D">
            <w:pPr>
              <w:adjustRightInd w:val="0"/>
              <w:snapToGrid w:val="0"/>
              <w:jc w:val="center"/>
              <w:rPr>
                <w:rFonts w:ascii="方正仿宋_GBK" w:hAnsi="Times New Roman" w:eastAsia="方正仿宋_GBK" w:cs="Times New Roman"/>
                <w:b/>
                <w:kern w:val="0"/>
                <w:sz w:val="24"/>
                <w:szCs w:val="24"/>
              </w:rPr>
            </w:pPr>
          </w:p>
        </w:tc>
      </w:tr>
      <w:tr w14:paraId="251F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713" w:type="dxa"/>
            <w:vAlign w:val="center"/>
          </w:tcPr>
          <w:p w14:paraId="4A83B11B">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4</w:t>
            </w:r>
          </w:p>
        </w:tc>
        <w:tc>
          <w:tcPr>
            <w:tcW w:w="2421" w:type="dxa"/>
            <w:vAlign w:val="center"/>
          </w:tcPr>
          <w:p w14:paraId="392E3FC3">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火焰光度计</w:t>
            </w:r>
          </w:p>
        </w:tc>
        <w:tc>
          <w:tcPr>
            <w:tcW w:w="1690" w:type="dxa"/>
            <w:vAlign w:val="center"/>
          </w:tcPr>
          <w:p w14:paraId="3E50E558">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1</w:t>
            </w:r>
          </w:p>
        </w:tc>
        <w:tc>
          <w:tcPr>
            <w:tcW w:w="1701" w:type="dxa"/>
            <w:vAlign w:val="center"/>
          </w:tcPr>
          <w:p w14:paraId="407B4213">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台</w:t>
            </w:r>
          </w:p>
        </w:tc>
        <w:tc>
          <w:tcPr>
            <w:tcW w:w="2148" w:type="dxa"/>
            <w:vMerge w:val="continue"/>
            <w:vAlign w:val="center"/>
          </w:tcPr>
          <w:p w14:paraId="53A2BC53">
            <w:pPr>
              <w:adjustRightInd w:val="0"/>
              <w:snapToGrid w:val="0"/>
              <w:jc w:val="center"/>
              <w:rPr>
                <w:rFonts w:ascii="方正仿宋_GBK" w:hAnsi="Times New Roman" w:eastAsia="方正仿宋_GBK" w:cs="Times New Roman"/>
                <w:b/>
                <w:kern w:val="0"/>
                <w:sz w:val="24"/>
                <w:szCs w:val="24"/>
              </w:rPr>
            </w:pPr>
          </w:p>
        </w:tc>
      </w:tr>
      <w:tr w14:paraId="3353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13" w:type="dxa"/>
            <w:vAlign w:val="center"/>
          </w:tcPr>
          <w:p w14:paraId="4B0E7D50">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5</w:t>
            </w:r>
          </w:p>
        </w:tc>
        <w:tc>
          <w:tcPr>
            <w:tcW w:w="2421" w:type="dxa"/>
            <w:vAlign w:val="center"/>
          </w:tcPr>
          <w:p w14:paraId="05EA357E">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振筛机</w:t>
            </w:r>
          </w:p>
        </w:tc>
        <w:tc>
          <w:tcPr>
            <w:tcW w:w="1690" w:type="dxa"/>
            <w:vAlign w:val="center"/>
          </w:tcPr>
          <w:p w14:paraId="0512C492">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2</w:t>
            </w:r>
          </w:p>
        </w:tc>
        <w:tc>
          <w:tcPr>
            <w:tcW w:w="1701" w:type="dxa"/>
            <w:vAlign w:val="center"/>
          </w:tcPr>
          <w:p w14:paraId="3C0BC571">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台</w:t>
            </w:r>
          </w:p>
        </w:tc>
        <w:tc>
          <w:tcPr>
            <w:tcW w:w="2148" w:type="dxa"/>
            <w:vMerge w:val="continue"/>
            <w:vAlign w:val="center"/>
          </w:tcPr>
          <w:p w14:paraId="2AA266EE">
            <w:pPr>
              <w:adjustRightInd w:val="0"/>
              <w:snapToGrid w:val="0"/>
              <w:jc w:val="center"/>
              <w:rPr>
                <w:rFonts w:ascii="方正仿宋_GBK" w:hAnsi="Times New Roman" w:eastAsia="方正仿宋_GBK" w:cs="Times New Roman"/>
                <w:b/>
                <w:kern w:val="0"/>
                <w:sz w:val="24"/>
                <w:szCs w:val="24"/>
              </w:rPr>
            </w:pPr>
          </w:p>
        </w:tc>
      </w:tr>
      <w:tr w14:paraId="6DA6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3" w:type="dxa"/>
            <w:vAlign w:val="center"/>
          </w:tcPr>
          <w:p w14:paraId="24A26DDE">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6</w:t>
            </w:r>
          </w:p>
        </w:tc>
        <w:tc>
          <w:tcPr>
            <w:tcW w:w="2421" w:type="dxa"/>
            <w:vAlign w:val="center"/>
          </w:tcPr>
          <w:p w14:paraId="065DA057">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智能一体式箱式电阻炉</w:t>
            </w:r>
          </w:p>
        </w:tc>
        <w:tc>
          <w:tcPr>
            <w:tcW w:w="1690" w:type="dxa"/>
            <w:vAlign w:val="center"/>
          </w:tcPr>
          <w:p w14:paraId="50DCD00B">
            <w:pPr>
              <w:adjustRightInd w:val="0"/>
              <w:snapToGrid w:val="0"/>
              <w:jc w:val="center"/>
              <w:rPr>
                <w:rFonts w:ascii="Times New Roman" w:hAnsi="Times New Roman" w:eastAsia="方正仿宋_GBK" w:cs="Times New Roman"/>
                <w:kern w:val="0"/>
                <w:sz w:val="28"/>
                <w:szCs w:val="20"/>
              </w:rPr>
            </w:pPr>
            <w:r>
              <w:rPr>
                <w:rFonts w:ascii="Times New Roman" w:hAnsi="Times New Roman" w:eastAsia="方正仿宋_GBK" w:cs="Times New Roman"/>
                <w:kern w:val="0"/>
                <w:sz w:val="28"/>
                <w:szCs w:val="20"/>
              </w:rPr>
              <w:t>1</w:t>
            </w:r>
          </w:p>
        </w:tc>
        <w:tc>
          <w:tcPr>
            <w:tcW w:w="1701" w:type="dxa"/>
            <w:vAlign w:val="center"/>
          </w:tcPr>
          <w:p w14:paraId="422616CE">
            <w:pPr>
              <w:adjustRightInd w:val="0"/>
              <w:snapToGrid w:val="0"/>
              <w:jc w:val="center"/>
              <w:rPr>
                <w:rFonts w:ascii="Times New Roman" w:hAnsi="Times New Roman" w:eastAsia="方正仿宋_GBK" w:cs="Times New Roman"/>
                <w:kern w:val="0"/>
                <w:sz w:val="28"/>
                <w:szCs w:val="20"/>
              </w:rPr>
            </w:pPr>
            <w:r>
              <w:rPr>
                <w:rFonts w:hint="eastAsia" w:ascii="Times New Roman" w:hAnsi="Times New Roman" w:eastAsia="方正仿宋_GBK" w:cs="Times New Roman"/>
                <w:kern w:val="0"/>
                <w:sz w:val="28"/>
                <w:szCs w:val="20"/>
              </w:rPr>
              <w:t>台</w:t>
            </w:r>
          </w:p>
        </w:tc>
        <w:tc>
          <w:tcPr>
            <w:tcW w:w="2148" w:type="dxa"/>
            <w:vMerge w:val="continue"/>
            <w:vAlign w:val="center"/>
          </w:tcPr>
          <w:p w14:paraId="4A45AA63">
            <w:pPr>
              <w:adjustRightInd w:val="0"/>
              <w:snapToGrid w:val="0"/>
              <w:jc w:val="center"/>
              <w:rPr>
                <w:rFonts w:ascii="方正仿宋_GBK" w:hAnsi="Times New Roman" w:eastAsia="方正仿宋_GBK" w:cs="Times New Roman"/>
                <w:b/>
                <w:kern w:val="0"/>
                <w:sz w:val="24"/>
                <w:szCs w:val="24"/>
              </w:rPr>
            </w:pPr>
          </w:p>
        </w:tc>
      </w:tr>
    </w:tbl>
    <w:p w14:paraId="4F5CACCC">
      <w:pPr>
        <w:adjustRightInd w:val="0"/>
        <w:snapToGrid w:val="0"/>
        <w:spacing w:line="560" w:lineRule="exact"/>
        <w:ind w:firstLine="482" w:firstLineChars="200"/>
        <w:jc w:val="left"/>
        <w:rPr>
          <w:rFonts w:ascii="方正仿宋_GBK" w:hAnsi="Times New Roman" w:eastAsia="方正仿宋_GBK" w:cs="Times New Roman"/>
          <w:b/>
          <w:sz w:val="24"/>
          <w:szCs w:val="24"/>
        </w:rPr>
      </w:pPr>
      <w:r>
        <w:rPr>
          <w:rFonts w:ascii="方正仿宋_GBK" w:hAnsi="Times New Roman" w:eastAsia="方正仿宋_GBK" w:cs="Times New Roman"/>
          <w:b/>
          <w:sz w:val="24"/>
          <w:szCs w:val="24"/>
        </w:rPr>
        <w:br w:type="page"/>
      </w:r>
    </w:p>
    <w:p w14:paraId="315DEA92">
      <w:pPr>
        <w:adjustRightInd w:val="0"/>
        <w:snapToGrid w:val="0"/>
        <w:spacing w:line="560" w:lineRule="exact"/>
        <w:ind w:firstLine="562" w:firstLineChars="200"/>
        <w:jc w:val="left"/>
        <w:rPr>
          <w:rFonts w:ascii="方正仿宋_GBK" w:hAnsi="Times New Roman" w:eastAsia="方正仿宋_GBK" w:cs="Times New Roman"/>
          <w:b/>
          <w:sz w:val="28"/>
          <w:szCs w:val="24"/>
        </w:rPr>
      </w:pPr>
      <w:r>
        <w:rPr>
          <w:rFonts w:hint="eastAsia" w:ascii="方正仿宋_GBK" w:hAnsi="Times New Roman" w:eastAsia="方正仿宋_GBK" w:cs="Times New Roman"/>
          <w:b/>
          <w:sz w:val="28"/>
          <w:szCs w:val="24"/>
        </w:rPr>
        <w:t>2、技术参数</w:t>
      </w:r>
    </w:p>
    <w:tbl>
      <w:tblPr>
        <w:tblStyle w:val="5"/>
        <w:tblW w:w="8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409"/>
        <w:gridCol w:w="6491"/>
      </w:tblGrid>
      <w:tr w14:paraId="5E2EE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46" w:type="dxa"/>
            <w:vAlign w:val="center"/>
          </w:tcPr>
          <w:p w14:paraId="7AFCC26B">
            <w:pPr>
              <w:adjustRightInd w:val="0"/>
              <w:snapToGrid w:val="0"/>
              <w:jc w:val="center"/>
              <w:rPr>
                <w:rFonts w:ascii="方正仿宋_GBK" w:hAnsi="Times New Roman" w:eastAsia="方正仿宋_GBK" w:cs="Times New Roman"/>
                <w:b/>
                <w:kern w:val="0"/>
                <w:sz w:val="28"/>
                <w:szCs w:val="24"/>
              </w:rPr>
            </w:pPr>
            <w:r>
              <w:rPr>
                <w:rFonts w:hint="eastAsia" w:ascii="方正仿宋_GBK" w:hAnsi="Times New Roman" w:eastAsia="方正仿宋_GBK" w:cs="Times New Roman"/>
                <w:b/>
                <w:kern w:val="0"/>
                <w:sz w:val="28"/>
                <w:szCs w:val="24"/>
              </w:rPr>
              <w:t>编号</w:t>
            </w:r>
          </w:p>
        </w:tc>
        <w:tc>
          <w:tcPr>
            <w:tcW w:w="1409" w:type="dxa"/>
            <w:vAlign w:val="center"/>
          </w:tcPr>
          <w:p w14:paraId="4DBB8BD7">
            <w:pPr>
              <w:adjustRightInd w:val="0"/>
              <w:snapToGrid w:val="0"/>
              <w:jc w:val="center"/>
              <w:rPr>
                <w:rFonts w:ascii="方正仿宋_GBK" w:hAnsi="Times New Roman" w:eastAsia="方正仿宋_GBK" w:cs="Times New Roman"/>
                <w:b/>
                <w:kern w:val="0"/>
                <w:sz w:val="28"/>
                <w:szCs w:val="24"/>
              </w:rPr>
            </w:pPr>
            <w:r>
              <w:rPr>
                <w:rFonts w:hint="eastAsia" w:ascii="方正仿宋_GBK" w:hAnsi="Times New Roman" w:eastAsia="方正仿宋_GBK" w:cs="Times New Roman"/>
                <w:b/>
                <w:kern w:val="0"/>
                <w:sz w:val="28"/>
                <w:szCs w:val="24"/>
              </w:rPr>
              <w:t>仪器/设备名称</w:t>
            </w:r>
          </w:p>
        </w:tc>
        <w:tc>
          <w:tcPr>
            <w:tcW w:w="6491" w:type="dxa"/>
            <w:vAlign w:val="center"/>
          </w:tcPr>
          <w:p w14:paraId="2EF09272">
            <w:pPr>
              <w:adjustRightInd w:val="0"/>
              <w:snapToGrid w:val="0"/>
              <w:jc w:val="center"/>
              <w:rPr>
                <w:rFonts w:ascii="方正仿宋_GBK" w:hAnsi="Times New Roman" w:eastAsia="方正仿宋_GBK" w:cs="Times New Roman"/>
                <w:b/>
                <w:kern w:val="0"/>
                <w:sz w:val="28"/>
                <w:szCs w:val="24"/>
              </w:rPr>
            </w:pPr>
            <w:r>
              <w:rPr>
                <w:rFonts w:hint="eastAsia" w:ascii="方正仿宋_GBK" w:hAnsi="Times New Roman" w:eastAsia="方正仿宋_GBK" w:cs="Times New Roman"/>
                <w:b/>
                <w:kern w:val="0"/>
                <w:sz w:val="28"/>
                <w:szCs w:val="24"/>
              </w:rPr>
              <w:t>主要性能/技术指标/规格要求</w:t>
            </w:r>
          </w:p>
        </w:tc>
      </w:tr>
      <w:tr w14:paraId="0190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4" w:hRule="atLeast"/>
        </w:trPr>
        <w:tc>
          <w:tcPr>
            <w:tcW w:w="846" w:type="dxa"/>
            <w:vAlign w:val="center"/>
          </w:tcPr>
          <w:p w14:paraId="47C74AB2">
            <w:pPr>
              <w:adjustRightInd w:val="0"/>
              <w:snapToGrid w:val="0"/>
              <w:jc w:val="center"/>
              <w:rPr>
                <w:rFonts w:hint="eastAsia" w:ascii="宋体" w:hAnsi="宋体" w:eastAsia="宋体" w:cs="Times New Roman"/>
                <w:kern w:val="0"/>
                <w:sz w:val="24"/>
                <w:szCs w:val="24"/>
              </w:rPr>
            </w:pPr>
            <w:r>
              <w:rPr>
                <w:rFonts w:hint="eastAsia" w:ascii="宋体" w:hAnsi="宋体" w:eastAsia="宋体" w:cs="Times New Roman"/>
                <w:kern w:val="0"/>
                <w:sz w:val="24"/>
                <w:szCs w:val="20"/>
              </w:rPr>
              <w:t>1</w:t>
            </w:r>
          </w:p>
        </w:tc>
        <w:tc>
          <w:tcPr>
            <w:tcW w:w="1409" w:type="dxa"/>
            <w:vAlign w:val="center"/>
          </w:tcPr>
          <w:p w14:paraId="43896462">
            <w:pPr>
              <w:adjustRightInd w:val="0"/>
              <w:snapToGrid w:val="0"/>
              <w:jc w:val="left"/>
              <w:rPr>
                <w:rFonts w:hint="eastAsia" w:ascii="宋体" w:hAnsi="宋体" w:eastAsia="宋体" w:cs="Times New Roman"/>
                <w:kern w:val="0"/>
                <w:sz w:val="24"/>
                <w:szCs w:val="24"/>
              </w:rPr>
            </w:pPr>
            <w:r>
              <w:rPr>
                <w:rFonts w:hint="eastAsia" w:ascii="宋体" w:hAnsi="宋体" w:eastAsia="宋体" w:cs="Times New Roman"/>
                <w:kern w:val="0"/>
                <w:sz w:val="24"/>
                <w:szCs w:val="20"/>
              </w:rPr>
              <w:t>全自动凯氏定氮仪</w:t>
            </w:r>
          </w:p>
        </w:tc>
        <w:tc>
          <w:tcPr>
            <w:tcW w:w="6491" w:type="dxa"/>
          </w:tcPr>
          <w:p w14:paraId="01C958D0">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一、技术参数</w:t>
            </w:r>
          </w:p>
          <w:p w14:paraId="235EB65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1、采用国家标准的凯氏定氮方法：浓硫酸环境消解样品、碱性环境蒸汽蒸馏、硼酸吸收、指示剂滴定终点颜色判定法。</w:t>
            </w:r>
          </w:p>
          <w:p w14:paraId="033652E0">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2、检测范围：0.1-240mg 氮；</w:t>
            </w:r>
          </w:p>
          <w:p w14:paraId="03865512">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回收率≥99.5%；重复性误差：±0.5%；滴定精度：2.0 μL/步；</w:t>
            </w:r>
          </w:p>
          <w:p w14:paraId="537A33C2">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3、测定样品重量：固体≤5g   液体≤15ml；</w:t>
            </w:r>
          </w:p>
          <w:p w14:paraId="1220775D">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4、仪器采用高精度隔膜泵进行溶液的加注，最小加液量为1mL，并且在实验过程中可补加碱液，实验操作灵活，避免试剂浪费；</w:t>
            </w:r>
          </w:p>
          <w:p w14:paraId="028FF51E">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5、操作系统：嵌入常规检测实验方法及参数，实验过程可直接调用，内置彩色触摸屏，屏幕尺寸≤6寸，中文操作界面，可实时监测和显示实验过程；数据存储量 ≥1000套；</w:t>
            </w:r>
          </w:p>
          <w:p w14:paraId="67BB3A91">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6、设备采用金属材质的凯氏定氮仪蒸汽发生器装置，具有分离式液位监测保护措施；同时安全防护门须采用整体非局部全透明高分子材质，方便观察蒸馏情况；</w:t>
            </w:r>
          </w:p>
          <w:p w14:paraId="14C2AF23">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7、蒸馏时间：0—30min 连续可调；蒸汽流量：50-100%可调；</w:t>
            </w:r>
          </w:p>
          <w:p w14:paraId="0BC58FC2">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8、全自动加碱加酸加稀释剂、全自动蒸馏滴定、全自动故障检测、全自动计算及打印结果；</w:t>
            </w:r>
          </w:p>
          <w:p w14:paraId="3528C83D">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9、防溅瓶采用耐碱液腐蚀的高分子材质；同时设备具有全密闭柔性接触式防喷溅部件,可以适配多种实验需求。</w:t>
            </w:r>
          </w:p>
          <w:p w14:paraId="78969FED">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10、直线电机微控滴定系统,减少测试时间，提高测试准确性；</w:t>
            </w:r>
          </w:p>
          <w:p w14:paraId="45824A26">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 xml:space="preserve">11、仪器实验过程中，接收杯处于密闭状态，有效避免环境中物质对实验影响并且滴定系统照明和颜色终点判定采用不同光源，减少外界光源的影响; </w:t>
            </w:r>
          </w:p>
          <w:p w14:paraId="326361CE">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12、具备滴定颜色设置和微调功能，同时具有安全门检测、定氮管在位检测、接收杯溢出检测；</w:t>
            </w:r>
          </w:p>
          <w:p w14:paraId="29ABF90C">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石墨消解仪要求：</w:t>
            </w:r>
          </w:p>
          <w:p w14:paraId="457E19B3">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13、消化能力： ≥20个样品；</w:t>
            </w:r>
          </w:p>
          <w:p w14:paraId="11ACC7C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14、加热方式：采用红外一体式加热及高纯石墨传导而非易腐蚀的铸铝模块加热；控温方式：PID 控温；嵌入式软件控温技术；控温范围:室温+5℃～450℃（从室温到400℃≤25 分钟）；升温计时方式：消解开始计时或达至设定温度计时两种可选；控温精度：±1℃；</w:t>
            </w:r>
          </w:p>
          <w:p w14:paraId="2C79491B">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15、可存储≥10组以上消解方法；显示系统：真彩液晶显示屏≥4寸；</w:t>
            </w:r>
          </w:p>
          <w:p w14:paraId="43F6578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16、自动检测加热单元工作故障并可判断出故障模块，便于维护；具有专利技术的带有风道结构的电热消解器隔热；整机具有安全熔断系统,在意外发生时可以保护实验室安全。</w:t>
            </w:r>
          </w:p>
          <w:p w14:paraId="5C8934F4">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17、具备过压、过流、过热报警，故障自动报警功能；</w:t>
            </w:r>
          </w:p>
          <w:p w14:paraId="16C15D18">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二、配置要求：</w:t>
            </w:r>
          </w:p>
          <w:p w14:paraId="131D1D24">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 全自动凯氏定氮仪主机(含蒸馏系统、滴定系统) 1套</w:t>
            </w:r>
          </w:p>
          <w:p w14:paraId="5EF3A320">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2、石墨消解仪                                 1台</w:t>
            </w:r>
          </w:p>
          <w:p w14:paraId="43C5F38B">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3、消解排废系统                               1套</w:t>
            </w:r>
          </w:p>
          <w:p w14:paraId="1C1CEB13">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4、消化管                                     100只</w:t>
            </w:r>
          </w:p>
          <w:p w14:paraId="1C72E7A2">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5、催化剂片                                   1000片</w:t>
            </w:r>
          </w:p>
          <w:p w14:paraId="60C85C79">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6、密闭消化管                                 20只</w:t>
            </w:r>
          </w:p>
        </w:tc>
      </w:tr>
      <w:tr w14:paraId="5F0D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46" w:type="dxa"/>
            <w:vAlign w:val="center"/>
          </w:tcPr>
          <w:p w14:paraId="1F5D4715">
            <w:pPr>
              <w:adjustRightInd w:val="0"/>
              <w:snapToGrid w:val="0"/>
              <w:jc w:val="center"/>
              <w:rPr>
                <w:rFonts w:hint="eastAsia" w:ascii="宋体" w:hAnsi="宋体" w:eastAsia="宋体" w:cs="Times New Roman"/>
                <w:kern w:val="0"/>
                <w:sz w:val="24"/>
                <w:szCs w:val="24"/>
              </w:rPr>
            </w:pPr>
            <w:r>
              <w:rPr>
                <w:rFonts w:hint="eastAsia" w:ascii="宋体" w:hAnsi="宋体" w:eastAsia="宋体" w:cs="Times New Roman"/>
                <w:kern w:val="0"/>
                <w:sz w:val="24"/>
                <w:szCs w:val="20"/>
              </w:rPr>
              <w:t>2</w:t>
            </w:r>
          </w:p>
        </w:tc>
        <w:tc>
          <w:tcPr>
            <w:tcW w:w="1409" w:type="dxa"/>
            <w:vAlign w:val="center"/>
          </w:tcPr>
          <w:p w14:paraId="587CA47B">
            <w:pPr>
              <w:adjustRightInd w:val="0"/>
              <w:snapToGrid w:val="0"/>
              <w:jc w:val="left"/>
              <w:rPr>
                <w:rFonts w:hint="eastAsia" w:ascii="宋体" w:hAnsi="宋体" w:eastAsia="宋体" w:cs="Times New Roman"/>
                <w:kern w:val="0"/>
                <w:sz w:val="24"/>
                <w:szCs w:val="24"/>
              </w:rPr>
            </w:pPr>
            <w:r>
              <w:rPr>
                <w:rFonts w:hint="eastAsia" w:ascii="宋体" w:hAnsi="宋体" w:eastAsia="宋体" w:cs="Times New Roman"/>
                <w:kern w:val="0"/>
                <w:sz w:val="24"/>
                <w:szCs w:val="20"/>
              </w:rPr>
              <w:t>紫外可见分光光度计</w:t>
            </w:r>
          </w:p>
        </w:tc>
        <w:tc>
          <w:tcPr>
            <w:tcW w:w="6491" w:type="dxa"/>
          </w:tcPr>
          <w:p w14:paraId="264B5FE8">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一、主要技术参数：</w:t>
            </w:r>
          </w:p>
          <w:p w14:paraId="34AB0639">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1.1、波长范围:190nm～1100nm ；</w:t>
            </w:r>
          </w:p>
          <w:p w14:paraId="201A825D">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1.2、光谱带宽:2.0nm；</w:t>
            </w:r>
          </w:p>
          <w:p w14:paraId="3407F277">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1.3、波长准确度：±1nm(开机自动校准)；</w:t>
            </w:r>
          </w:p>
          <w:p w14:paraId="2FEDA06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1.4、波长重复性:≤0.2nm ；</w:t>
            </w:r>
          </w:p>
          <w:p w14:paraId="4A2FCC89">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1.5、光度准确度：±0.3%T（0～100%T）；</w:t>
            </w:r>
          </w:p>
          <w:p w14:paraId="26C68F4B">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1.6、光度重复性：≤0.15%T（0～100%T）；</w:t>
            </w:r>
          </w:p>
          <w:p w14:paraId="2A73FCD3">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1.7、基线平直度：±0.002Abs；</w:t>
            </w:r>
          </w:p>
          <w:p w14:paraId="3EB6F68E">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1.8、光度噪声：±0.001Abs；</w:t>
            </w:r>
          </w:p>
          <w:p w14:paraId="0C1D7F81">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1.9、杂散光: ≤ 0.05%T；</w:t>
            </w:r>
          </w:p>
          <w:p w14:paraId="62B12A23">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1.10、光度范围：－0.3～3.0Abs；</w:t>
            </w:r>
          </w:p>
          <w:p w14:paraId="41AA7C59">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1.11、进口氘灯和钨灯，具有自动灯寿命检测系统；</w:t>
            </w:r>
          </w:p>
          <w:p w14:paraId="447130EF">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1.12、内置的比色皿存放架；</w:t>
            </w:r>
          </w:p>
          <w:p w14:paraId="456F090E">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1.13、炫彩蓝色LCD显示；</w:t>
            </w:r>
          </w:p>
          <w:p w14:paraId="4FBB3BD2">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1.14、定量测量功能、光度测量功能；</w:t>
            </w:r>
          </w:p>
          <w:p w14:paraId="5CF2CA0B">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1.15配备全中文软件，能够实现多模式同时显示≥4个，测量方式瞬间完成；软件主要测量功能：光度测量、定量测量、光谱扫描、时间扫描；</w:t>
            </w:r>
          </w:p>
          <w:p w14:paraId="693DF145">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1.16可选配三维直角坐标式自动进样器，可配置流动比色池，最大可支持54个样品连续进样。</w:t>
            </w:r>
          </w:p>
          <w:p w14:paraId="1DABB35F">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1.17、10mm/50mm石英比色皿各1对</w:t>
            </w:r>
          </w:p>
        </w:tc>
      </w:tr>
      <w:tr w14:paraId="0836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46" w:type="dxa"/>
            <w:vAlign w:val="center"/>
          </w:tcPr>
          <w:p w14:paraId="1129A58A">
            <w:pPr>
              <w:adjustRightInd w:val="0"/>
              <w:snapToGrid w:val="0"/>
              <w:jc w:val="center"/>
              <w:rPr>
                <w:rFonts w:hint="eastAsia" w:ascii="宋体" w:hAnsi="宋体" w:eastAsia="宋体" w:cs="Times New Roman"/>
                <w:kern w:val="0"/>
                <w:sz w:val="24"/>
                <w:szCs w:val="24"/>
              </w:rPr>
            </w:pPr>
            <w:r>
              <w:rPr>
                <w:rFonts w:hint="eastAsia" w:ascii="宋体" w:hAnsi="宋体" w:eastAsia="宋体" w:cs="Times New Roman"/>
                <w:kern w:val="0"/>
                <w:sz w:val="24"/>
                <w:szCs w:val="20"/>
              </w:rPr>
              <w:t>3</w:t>
            </w:r>
          </w:p>
        </w:tc>
        <w:tc>
          <w:tcPr>
            <w:tcW w:w="1409" w:type="dxa"/>
            <w:vAlign w:val="center"/>
          </w:tcPr>
          <w:p w14:paraId="05C05F93">
            <w:pPr>
              <w:adjustRightInd w:val="0"/>
              <w:snapToGrid w:val="0"/>
              <w:jc w:val="left"/>
              <w:rPr>
                <w:rFonts w:hint="eastAsia" w:ascii="宋体" w:hAnsi="宋体" w:eastAsia="宋体" w:cs="Times New Roman"/>
                <w:kern w:val="0"/>
                <w:sz w:val="24"/>
                <w:szCs w:val="24"/>
              </w:rPr>
            </w:pPr>
            <w:r>
              <w:rPr>
                <w:rFonts w:hint="eastAsia" w:ascii="宋体" w:hAnsi="宋体" w:eastAsia="宋体" w:cs="Times New Roman"/>
                <w:kern w:val="0"/>
                <w:sz w:val="24"/>
                <w:szCs w:val="20"/>
              </w:rPr>
              <w:t>油浴锅</w:t>
            </w:r>
          </w:p>
        </w:tc>
        <w:tc>
          <w:tcPr>
            <w:tcW w:w="6491" w:type="dxa"/>
          </w:tcPr>
          <w:p w14:paraId="29A8093F">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 xml:space="preserve">1、电 源： 220V 50Hz </w:t>
            </w:r>
          </w:p>
          <w:p w14:paraId="2E7776A0">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 xml:space="preserve">2、温度范围： 环境温度+5℃～300℃ </w:t>
            </w:r>
          </w:p>
          <w:p w14:paraId="380EAF91">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 xml:space="preserve">3、恒温波动： ±1℃ 加热功率1800W </w:t>
            </w:r>
          </w:p>
          <w:p w14:paraId="2672268B">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 xml:space="preserve">4、恒温设定与测量：p数字控制(LED数显) </w:t>
            </w:r>
          </w:p>
          <w:p w14:paraId="043D664F">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 xml:space="preserve">5、总 功 耗： </w:t>
            </w:r>
            <w:r>
              <w:rPr>
                <w:rFonts w:hint="eastAsia" w:ascii="宋体" w:hAnsi="宋体" w:eastAsia="宋体"/>
                <w:kern w:val="0"/>
                <w:sz w:val="20"/>
                <w:szCs w:val="20"/>
                <w:lang w:val="en-US" w:eastAsia="zh-CN"/>
              </w:rPr>
              <w:t>≥</w:t>
            </w:r>
            <w:r>
              <w:rPr>
                <w:rFonts w:hint="eastAsia" w:ascii="宋体" w:hAnsi="宋体" w:eastAsia="宋体"/>
                <w:kern w:val="0"/>
                <w:sz w:val="20"/>
                <w:szCs w:val="20"/>
              </w:rPr>
              <w:t xml:space="preserve">2.2KW </w:t>
            </w:r>
          </w:p>
          <w:p w14:paraId="428AA6F0">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6、工作尺寸： 280×280×300 mm</w:t>
            </w:r>
          </w:p>
          <w:p w14:paraId="5C330E8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7、加热介质： 高温导热油或蒸馏水</w:t>
            </w:r>
          </w:p>
          <w:p w14:paraId="5A584AB5">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8、带16孔不锈钢架</w:t>
            </w:r>
          </w:p>
        </w:tc>
      </w:tr>
      <w:tr w14:paraId="0CAF3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46" w:type="dxa"/>
            <w:vAlign w:val="center"/>
          </w:tcPr>
          <w:p w14:paraId="3E2E09E3">
            <w:pPr>
              <w:adjustRightInd w:val="0"/>
              <w:snapToGrid w:val="0"/>
              <w:jc w:val="center"/>
              <w:rPr>
                <w:rFonts w:hint="eastAsia" w:ascii="宋体" w:hAnsi="宋体" w:eastAsia="宋体" w:cs="Times New Roman"/>
                <w:kern w:val="0"/>
                <w:sz w:val="24"/>
                <w:szCs w:val="24"/>
              </w:rPr>
            </w:pPr>
            <w:r>
              <w:rPr>
                <w:rFonts w:hint="eastAsia" w:ascii="宋体" w:hAnsi="宋体" w:eastAsia="宋体" w:cs="Times New Roman"/>
                <w:kern w:val="0"/>
                <w:sz w:val="24"/>
                <w:szCs w:val="20"/>
              </w:rPr>
              <w:t>4</w:t>
            </w:r>
          </w:p>
        </w:tc>
        <w:tc>
          <w:tcPr>
            <w:tcW w:w="1409" w:type="dxa"/>
            <w:vAlign w:val="center"/>
          </w:tcPr>
          <w:p w14:paraId="073E25DB">
            <w:pPr>
              <w:adjustRightInd w:val="0"/>
              <w:snapToGrid w:val="0"/>
              <w:jc w:val="left"/>
              <w:rPr>
                <w:rFonts w:hint="eastAsia" w:ascii="宋体" w:hAnsi="宋体" w:eastAsia="宋体" w:cs="Times New Roman"/>
                <w:kern w:val="0"/>
                <w:sz w:val="24"/>
                <w:szCs w:val="24"/>
              </w:rPr>
            </w:pPr>
            <w:r>
              <w:rPr>
                <w:rFonts w:hint="eastAsia" w:ascii="宋体" w:hAnsi="宋体" w:eastAsia="宋体" w:cs="Times New Roman"/>
                <w:kern w:val="0"/>
                <w:sz w:val="24"/>
                <w:szCs w:val="20"/>
              </w:rPr>
              <w:t>火焰光度计</w:t>
            </w:r>
          </w:p>
        </w:tc>
        <w:tc>
          <w:tcPr>
            <w:tcW w:w="6491" w:type="dxa"/>
          </w:tcPr>
          <w:p w14:paraId="1ABEF642">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1、主机采用彩色触控液晶屏，体积小、操作方便稳定可靠。</w:t>
            </w:r>
          </w:p>
          <w:p w14:paraId="2AF9FEAC">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2、一键自动点火，增加燃气流量计，便于观察和调节。</w:t>
            </w:r>
          </w:p>
          <w:p w14:paraId="53ABC4E8">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3、内置静音空气泵，开机便可复制仪器出厂检验时的最佳测试状态。</w:t>
            </w:r>
          </w:p>
          <w:p w14:paraId="7FADC980">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4、拥有熄火保护和燃气泄露报警功能，并自动关闭燃气电磁阀。</w:t>
            </w:r>
          </w:p>
          <w:p w14:paraId="49182FCE">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5、全新的紧凑型预混室设计，有效降低化学干扰，使样品测 试结果更精准，液化气做燃气。</w:t>
            </w:r>
          </w:p>
          <w:p w14:paraId="3FEED8DD">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6、需钾、钠双道同时检测</w:t>
            </w:r>
          </w:p>
          <w:p w14:paraId="490266C2">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7、能储存10个点一组的标准曲线，20组测试数据，且可选配专用操作软件</w:t>
            </w:r>
          </w:p>
          <w:p w14:paraId="7C2CFD76">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8、可选配数据打印装置和专用操作软件。</w:t>
            </w:r>
          </w:p>
          <w:p w14:paraId="650481A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二、技术指标</w:t>
            </w:r>
          </w:p>
          <w:p w14:paraId="78EF42E0">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 xml:space="preserve">1、检测限mmol/L：钾≤0.004;  钠≤0.008; </w:t>
            </w:r>
          </w:p>
          <w:p w14:paraId="0DE58FB4">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2、线性误差（mmol/L）：钾≤0.005；钠≤0.030；</w:t>
            </w:r>
          </w:p>
          <w:p w14:paraId="3AC6977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3、检测范围ppm：钾: 0.15—100  钠: 0.18—100</w:t>
            </w:r>
          </w:p>
          <w:p w14:paraId="6FADE7CD">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 xml:space="preserve">4、显示结果：浓度值, </w:t>
            </w:r>
          </w:p>
          <w:p w14:paraId="7DA2A46C">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5、读数范围：0.0 — 999.9</w:t>
            </w:r>
          </w:p>
          <w:p w14:paraId="638AB44D">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 xml:space="preserve">6、响应时间：＜8s </w:t>
            </w:r>
          </w:p>
          <w:p w14:paraId="5B33CB8F">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7、最小吸喷量：≤ 4mL/min</w:t>
            </w:r>
          </w:p>
          <w:p w14:paraId="6D1501C4">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8、稳定性：用标准溶液连续进样，15s内仪器示值的相对最大变化量≤3%，每分钟测1次，共测定6次，仪器示值的最大变化量≤8%</w:t>
            </w:r>
          </w:p>
          <w:p w14:paraId="59F1ADB8">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9、重复性：≤ 2%</w:t>
            </w:r>
          </w:p>
          <w:p w14:paraId="27A24CE1">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10、电源：AC220V±22V，50Hz±1Hz，100W，正常工作条件：环境温度：10℃~ 35 ℃ ，相对湿度： 85%</w:t>
            </w:r>
          </w:p>
          <w:p w14:paraId="186C0FD5">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三，仪器成套性</w:t>
            </w:r>
          </w:p>
          <w:p w14:paraId="04A82BC9">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1、仪器（主机） 1 台</w:t>
            </w:r>
          </w:p>
          <w:p w14:paraId="42A4637C">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2、空气压缩泵（内置）  1 台</w:t>
            </w:r>
          </w:p>
          <w:p w14:paraId="37895EFE">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3、液化气阀 1个</w:t>
            </w:r>
          </w:p>
          <w:p w14:paraId="2C0E1309">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4、附件备件管道 1 套</w:t>
            </w:r>
          </w:p>
          <w:p w14:paraId="4C62FDCB">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5、钠、钾标液各一瓶</w:t>
            </w:r>
          </w:p>
        </w:tc>
      </w:tr>
      <w:tr w14:paraId="00C6E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46" w:type="dxa"/>
            <w:vAlign w:val="center"/>
          </w:tcPr>
          <w:p w14:paraId="3927B051">
            <w:pPr>
              <w:adjustRightInd w:val="0"/>
              <w:snapToGrid w:val="0"/>
              <w:jc w:val="center"/>
              <w:rPr>
                <w:rFonts w:hint="eastAsia" w:ascii="宋体" w:hAnsi="宋体" w:eastAsia="宋体" w:cs="Times New Roman"/>
                <w:kern w:val="0"/>
                <w:sz w:val="24"/>
                <w:szCs w:val="24"/>
              </w:rPr>
            </w:pPr>
            <w:r>
              <w:rPr>
                <w:rFonts w:hint="eastAsia" w:ascii="宋体" w:hAnsi="宋体" w:eastAsia="宋体" w:cs="Times New Roman"/>
                <w:kern w:val="0"/>
                <w:sz w:val="24"/>
                <w:szCs w:val="20"/>
              </w:rPr>
              <w:t>5</w:t>
            </w:r>
          </w:p>
        </w:tc>
        <w:tc>
          <w:tcPr>
            <w:tcW w:w="1409" w:type="dxa"/>
            <w:vAlign w:val="center"/>
          </w:tcPr>
          <w:p w14:paraId="42A3F38F">
            <w:pPr>
              <w:adjustRightInd w:val="0"/>
              <w:snapToGrid w:val="0"/>
              <w:jc w:val="left"/>
              <w:rPr>
                <w:rFonts w:hint="eastAsia" w:ascii="宋体" w:hAnsi="宋体" w:eastAsia="宋体" w:cs="Times New Roman"/>
                <w:kern w:val="0"/>
                <w:sz w:val="24"/>
                <w:szCs w:val="24"/>
              </w:rPr>
            </w:pPr>
            <w:r>
              <w:rPr>
                <w:rFonts w:hint="eastAsia" w:ascii="宋体" w:hAnsi="宋体" w:eastAsia="宋体" w:cs="Times New Roman"/>
                <w:kern w:val="0"/>
                <w:sz w:val="24"/>
                <w:szCs w:val="20"/>
              </w:rPr>
              <w:t>振筛机</w:t>
            </w:r>
          </w:p>
        </w:tc>
        <w:tc>
          <w:tcPr>
            <w:tcW w:w="6491" w:type="dxa"/>
          </w:tcPr>
          <w:p w14:paraId="68F7A58D">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1、使用范围：≤325目</w:t>
            </w:r>
          </w:p>
          <w:p w14:paraId="7F97072F">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2、振动频率：3000次/分，6000次/分</w:t>
            </w:r>
          </w:p>
          <w:p w14:paraId="5FFB9BAB">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3、振幅选择：0mm—3mm连续调节</w:t>
            </w:r>
          </w:p>
          <w:p w14:paraId="528FEA3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4、振动方式：精微振动、间断振动、连续振动</w:t>
            </w:r>
          </w:p>
          <w:p w14:paraId="76199D9E">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5、电源：220V±22V，50Hz±1Hz，150w</w:t>
            </w:r>
          </w:p>
          <w:p w14:paraId="4FC09B7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6、定时选择：0-60min</w:t>
            </w:r>
          </w:p>
          <w:p w14:paraId="2B197282">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7、振动单元：ø300×210mm</w:t>
            </w:r>
          </w:p>
          <w:p w14:paraId="7329129E">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8、控制单元：270mm×220mm×130mm</w:t>
            </w:r>
          </w:p>
          <w:p w14:paraId="6A3B285B">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9、配备10目筛网（尼龙材质及不锈钢材质各2个）</w:t>
            </w:r>
          </w:p>
          <w:p w14:paraId="16EF98D5">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10、配备100目筛网（尼龙材质及不锈钢材质各2个）</w:t>
            </w:r>
          </w:p>
        </w:tc>
      </w:tr>
      <w:tr w14:paraId="3AC59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46" w:type="dxa"/>
            <w:vAlign w:val="center"/>
          </w:tcPr>
          <w:p w14:paraId="68F94C89">
            <w:pPr>
              <w:adjustRightInd w:val="0"/>
              <w:snapToGrid w:val="0"/>
              <w:jc w:val="center"/>
              <w:rPr>
                <w:rFonts w:hint="eastAsia" w:ascii="宋体" w:hAnsi="宋体" w:eastAsia="宋体" w:cs="Times New Roman"/>
                <w:kern w:val="0"/>
                <w:sz w:val="24"/>
                <w:szCs w:val="24"/>
              </w:rPr>
            </w:pPr>
            <w:r>
              <w:rPr>
                <w:rFonts w:hint="eastAsia" w:ascii="宋体" w:hAnsi="宋体" w:eastAsia="宋体" w:cs="Times New Roman"/>
                <w:kern w:val="0"/>
                <w:sz w:val="24"/>
                <w:szCs w:val="20"/>
              </w:rPr>
              <w:t>6</w:t>
            </w:r>
          </w:p>
        </w:tc>
        <w:tc>
          <w:tcPr>
            <w:tcW w:w="1409" w:type="dxa"/>
            <w:vAlign w:val="center"/>
          </w:tcPr>
          <w:p w14:paraId="3EFA1C55">
            <w:pPr>
              <w:adjustRightInd w:val="0"/>
              <w:snapToGrid w:val="0"/>
              <w:jc w:val="left"/>
              <w:rPr>
                <w:rFonts w:hint="eastAsia" w:ascii="宋体" w:hAnsi="宋体" w:eastAsia="宋体" w:cs="Times New Roman"/>
                <w:kern w:val="0"/>
                <w:sz w:val="24"/>
                <w:szCs w:val="24"/>
              </w:rPr>
            </w:pPr>
            <w:r>
              <w:rPr>
                <w:rFonts w:hint="eastAsia" w:ascii="宋体" w:hAnsi="宋体" w:eastAsia="宋体" w:cs="Times New Roman"/>
                <w:kern w:val="0"/>
                <w:sz w:val="24"/>
                <w:szCs w:val="20"/>
              </w:rPr>
              <w:t>智能一体式箱式电阻炉</w:t>
            </w:r>
          </w:p>
        </w:tc>
        <w:tc>
          <w:tcPr>
            <w:tcW w:w="6491" w:type="dxa"/>
          </w:tcPr>
          <w:p w14:paraId="357D0975">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w:t>
            </w:r>
            <w:r>
              <w:rPr>
                <w:rFonts w:hint="eastAsia" w:ascii="宋体" w:hAnsi="宋体" w:eastAsia="宋体"/>
                <w:kern w:val="0"/>
                <w:sz w:val="20"/>
                <w:szCs w:val="20"/>
                <w:lang w:val="en-US" w:eastAsia="zh-CN"/>
              </w:rPr>
              <w:t>具有智能温控软件</w:t>
            </w:r>
            <w:r>
              <w:rPr>
                <w:rFonts w:hint="eastAsia" w:ascii="宋体" w:hAnsi="宋体" w:eastAsia="宋体"/>
                <w:kern w:val="0"/>
                <w:sz w:val="20"/>
                <w:szCs w:val="20"/>
              </w:rPr>
              <w:t>，控温精准，具备定值运行；</w:t>
            </w:r>
          </w:p>
          <w:p w14:paraId="18E0ACE4">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2、加热元件</w:t>
            </w:r>
            <w:r>
              <w:rPr>
                <w:rFonts w:hint="eastAsia" w:ascii="宋体" w:hAnsi="宋体" w:eastAsia="宋体"/>
                <w:kern w:val="0"/>
                <w:sz w:val="20"/>
                <w:szCs w:val="20"/>
                <w:lang w:val="en-US" w:eastAsia="zh-CN"/>
              </w:rPr>
              <w:t>采用硅钼棒或</w:t>
            </w:r>
            <w:r>
              <w:rPr>
                <w:rFonts w:hint="eastAsia" w:ascii="宋体" w:hAnsi="宋体" w:eastAsia="宋体"/>
                <w:kern w:val="0"/>
                <w:sz w:val="20"/>
                <w:szCs w:val="20"/>
              </w:rPr>
              <w:t>硅碳棒，导热性能良好；</w:t>
            </w:r>
          </w:p>
          <w:p w14:paraId="7E556311">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3、不锈钢内门衬板设计，相比传统衬板更易清洁，不易烤裂或变色；</w:t>
            </w:r>
          </w:p>
          <w:p w14:paraId="2CC684E1">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4、炉膛和炉门采用一次成型耐火砖材料，表面处理平整，无脱落；</w:t>
            </w:r>
          </w:p>
          <w:p w14:paraId="56E46F66">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5、1000与1200度炉膛与外壳之间的保温层采用陶瓷纤维散棉加膨胀珍珠，</w:t>
            </w:r>
          </w:p>
          <w:p w14:paraId="149276B9">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6、1300度炉膛与外壳之间的保温层采用陶瓷纤维板，保温性能优秀；</w:t>
            </w:r>
          </w:p>
          <w:p w14:paraId="51E14271">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7、炉门及炉膛外壁采用全腔外壁通风设计，使用高温时外壳可控制在40℃以内；</w:t>
            </w:r>
          </w:p>
          <w:p w14:paraId="49BEBB79">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8、设有过流、过压、过热、漏电、短路、开门断电等多种安全保护措施，保证使用安全；</w:t>
            </w:r>
          </w:p>
          <w:p w14:paraId="352AE34E">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9、工作室尺寸（长×宽×高）(mm)：200×300×120</w:t>
            </w:r>
          </w:p>
          <w:p w14:paraId="495EF2B7">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10、容积（L)：7.2L</w:t>
            </w:r>
          </w:p>
          <w:p w14:paraId="5A9225FA">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11、外型尺寸（长×宽×高）(mm)：570×670×720</w:t>
            </w:r>
          </w:p>
          <w:p w14:paraId="33C7DD4F">
            <w:pPr>
              <w:tabs>
                <w:tab w:val="left" w:pos="870"/>
              </w:tabs>
              <w:adjustRightInd w:val="0"/>
              <w:snapToGrid w:val="0"/>
              <w:rPr>
                <w:rFonts w:hint="eastAsia" w:ascii="宋体" w:hAnsi="宋体" w:eastAsia="宋体"/>
                <w:kern w:val="0"/>
                <w:sz w:val="20"/>
                <w:szCs w:val="20"/>
              </w:rPr>
            </w:pPr>
            <w:r>
              <w:rPr>
                <w:rFonts w:hint="eastAsia" w:ascii="宋体" w:hAnsi="宋体" w:eastAsia="宋体"/>
                <w:kern w:val="0"/>
                <w:sz w:val="20"/>
                <w:szCs w:val="20"/>
              </w:rPr>
              <w:t>12、电压(V)：220</w:t>
            </w:r>
          </w:p>
          <w:p w14:paraId="1581F259">
            <w:pPr>
              <w:tabs>
                <w:tab w:val="left" w:pos="870"/>
              </w:tabs>
              <w:adjustRightInd w:val="0"/>
              <w:snapToGrid w:val="0"/>
              <w:rPr>
                <w:rFonts w:hint="default" w:ascii="宋体" w:hAnsi="宋体" w:eastAsia="宋体"/>
                <w:kern w:val="0"/>
                <w:sz w:val="20"/>
                <w:szCs w:val="20"/>
                <w:lang w:val="en-US"/>
              </w:rPr>
            </w:pPr>
            <w:r>
              <w:rPr>
                <w:rFonts w:hint="eastAsia" w:ascii="宋体" w:hAnsi="宋体" w:eastAsia="宋体"/>
                <w:kern w:val="0"/>
                <w:sz w:val="20"/>
                <w:szCs w:val="20"/>
              </w:rPr>
              <w:t>13、功率(kW)：</w:t>
            </w:r>
            <w:r>
              <w:rPr>
                <w:rFonts w:hint="eastAsia" w:ascii="宋体" w:hAnsi="宋体" w:eastAsia="宋体"/>
                <w:kern w:val="0"/>
                <w:sz w:val="20"/>
                <w:szCs w:val="20"/>
                <w:lang w:val="en-US" w:eastAsia="zh-CN"/>
              </w:rPr>
              <w:t>≥5</w:t>
            </w:r>
          </w:p>
          <w:p w14:paraId="4CD5A271">
            <w:pPr>
              <w:tabs>
                <w:tab w:val="left" w:pos="870"/>
              </w:tabs>
              <w:adjustRightInd w:val="0"/>
              <w:snapToGrid w:val="0"/>
              <w:rPr>
                <w:rFonts w:hint="default" w:ascii="宋体" w:hAnsi="宋体" w:eastAsia="宋体"/>
                <w:kern w:val="0"/>
                <w:sz w:val="20"/>
                <w:szCs w:val="20"/>
                <w:lang w:val="en-US" w:eastAsia="zh-CN"/>
              </w:rPr>
            </w:pPr>
            <w:r>
              <w:rPr>
                <w:rFonts w:hint="eastAsia" w:ascii="宋体" w:hAnsi="宋体" w:eastAsia="宋体"/>
                <w:kern w:val="0"/>
                <w:sz w:val="20"/>
                <w:szCs w:val="20"/>
              </w:rPr>
              <w:t>14、控温范围/最高使用温度(℃)：</w:t>
            </w:r>
            <w:r>
              <w:rPr>
                <w:rFonts w:hint="eastAsia" w:ascii="宋体" w:hAnsi="宋体" w:eastAsia="宋体"/>
                <w:kern w:val="0"/>
                <w:sz w:val="20"/>
                <w:szCs w:val="20"/>
                <w:lang w:val="en-US" w:eastAsia="zh-CN"/>
              </w:rPr>
              <w:t>不低于1200℃</w:t>
            </w:r>
            <w:bookmarkStart w:id="0" w:name="_GoBack"/>
            <w:bookmarkEnd w:id="0"/>
          </w:p>
        </w:tc>
      </w:tr>
    </w:tbl>
    <w:p w14:paraId="1C41C1DE">
      <w:pPr>
        <w:rPr>
          <w:rFonts w:hint="eastAsia"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FAF"/>
    <w:rsid w:val="000B43B8"/>
    <w:rsid w:val="00173968"/>
    <w:rsid w:val="00186C78"/>
    <w:rsid w:val="001B04B6"/>
    <w:rsid w:val="00203626"/>
    <w:rsid w:val="002125CC"/>
    <w:rsid w:val="002742F3"/>
    <w:rsid w:val="00440F24"/>
    <w:rsid w:val="00482375"/>
    <w:rsid w:val="004B32CB"/>
    <w:rsid w:val="004B6E1F"/>
    <w:rsid w:val="004B7588"/>
    <w:rsid w:val="005025B2"/>
    <w:rsid w:val="00524481"/>
    <w:rsid w:val="00684BE9"/>
    <w:rsid w:val="006D2747"/>
    <w:rsid w:val="00757E3F"/>
    <w:rsid w:val="007E7B79"/>
    <w:rsid w:val="00882DEC"/>
    <w:rsid w:val="008B54DD"/>
    <w:rsid w:val="008E3772"/>
    <w:rsid w:val="009031A8"/>
    <w:rsid w:val="00A06F18"/>
    <w:rsid w:val="00AA254E"/>
    <w:rsid w:val="00B0386D"/>
    <w:rsid w:val="00B732C0"/>
    <w:rsid w:val="00BE173A"/>
    <w:rsid w:val="00C04E4F"/>
    <w:rsid w:val="00C2066F"/>
    <w:rsid w:val="00C21CA1"/>
    <w:rsid w:val="00C57A03"/>
    <w:rsid w:val="00C839B2"/>
    <w:rsid w:val="00C83FAF"/>
    <w:rsid w:val="00D456D8"/>
    <w:rsid w:val="00DF2228"/>
    <w:rsid w:val="00E24161"/>
    <w:rsid w:val="00EA00F7"/>
    <w:rsid w:val="00EC1203"/>
    <w:rsid w:val="00EC3EA3"/>
    <w:rsid w:val="00F325C5"/>
    <w:rsid w:val="00F411BB"/>
    <w:rsid w:val="00F767E2"/>
    <w:rsid w:val="00F844DA"/>
    <w:rsid w:val="00F85CEB"/>
    <w:rsid w:val="00F922F7"/>
    <w:rsid w:val="00FC4DD6"/>
    <w:rsid w:val="7B044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tabs>
        <w:tab w:val="center" w:pos="4153"/>
        <w:tab w:val="right" w:pos="8306"/>
      </w:tabs>
      <w:snapToGrid w:val="0"/>
      <w:jc w:val="center"/>
    </w:pPr>
    <w:rPr>
      <w:sz w:val="18"/>
      <w:szCs w:val="18"/>
    </w:rPr>
  </w:style>
  <w:style w:type="table" w:styleId="5">
    <w:name w:val="Table Grid"/>
    <w:basedOn w:val="4"/>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1043</Words>
  <Characters>1114</Characters>
  <Lines>23</Lines>
  <Paragraphs>6</Paragraphs>
  <TotalTime>20</TotalTime>
  <ScaleCrop>false</ScaleCrop>
  <LinksUpToDate>false</LinksUpToDate>
  <CharactersWithSpaces>1297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2024-10-10T07:28:00Z</dcterms:created>
  <dc:creator>Xian Lihong</dc:creator>
  <cp:lastModifiedBy>李航</cp:lastModifiedBy>
  <dcterms:modified xsi:type="dcterms:W3CDTF">2025-08-19T02:09:45Z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eyJoZGlkIjoiZTk1NTgyYTdmMDk2ZDhjNTU0NjY1NzFhMzUxOGY2YWUiLCJ1c2VySWQiOiIzNDIzMzg4NTEifQ==</vt:lpwstr>
  </property>
  <property fmtid="{D5CDD505-2E9C-101B-9397-08002B2CF9AE}" pid="3" name="KSOProductBuildVer">
    <vt:lpwstr>2052-12.1.0.21915</vt:lpwstr>
  </property>
  <property fmtid="{D5CDD505-2E9C-101B-9397-08002B2CF9AE}" pid="4" name="ICV">
    <vt:lpwstr>A5EF0B5E89804716AED435578A15DF78_12</vt:lpwstr>
  </property>
</Properties>
</file>